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Bdr>
          <w:bottom w:val="single" w:color="CCCCCC" w:sz="8" w:space="6"/>
        </w:pBdr>
        <w:spacing w:after="80"/>
      </w:pPr>
      <w:r>
        <w:rPr>
          <w:rFonts w:ascii="Calibri" w:cs="Calibri" w:eastAsia="Calibri" w:hAnsi="Calibri"/>
          <w:b/>
          <w:bCs/>
          <w:color w:val="1A1A1A"/>
          <w:sz w:val="52"/>
          <w:szCs w:val="52"/>
        </w:rPr>
        <w:t xml:space="preserve">Prachi Nakade</w:t>
      </w:r>
    </w:p>
    <w:p>
      <w:pPr>
        <w:spacing w:after="80" w:before="0"/>
      </w:pPr>
    </w:p>
    <w:p>
      <w:pPr>
        <w:spacing w:after="40"/>
      </w:pPr>
      <w:r>
        <w:rPr>
          <w:rFonts w:ascii="Calibri" w:cs="Calibri" w:eastAsia="Calibri" w:hAnsi="Calibri"/>
          <w:b/>
          <w:bCs/>
          <w:color w:val="2C2C2C"/>
          <w:sz w:val="19"/>
          <w:szCs w:val="19"/>
        </w:rPr>
        <w:t xml:space="preserve">Work permit: Germany</w:t>
      </w:r>
      <w:r>
        <w:rPr>
          <w:rFonts w:ascii="Calibri" w:cs="Calibri" w:eastAsia="Calibri" w:hAnsi="Calibri"/>
          <w:color w:val="2C2C2C"/>
          <w:sz w:val="19"/>
          <w:szCs w:val="19"/>
        </w:rPr>
        <w:t xml:space="preserve">  |  Nationality: Indian  |  Gender: Female  |  Phone: (+49) 015565856447</w:t>
      </w:r>
    </w:p>
    <w:p>
      <w:pPr>
        <w:spacing w:after="40"/>
      </w:pPr>
      <w:r>
        <w:rPr>
          <w:rFonts w:ascii="Calibri" w:cs="Calibri" w:eastAsia="Calibri" w:hAnsi="Calibri"/>
          <w:color w:val="2C2C2C"/>
          <w:sz w:val="19"/>
          <w:szCs w:val="19"/>
        </w:rPr>
        <w:t xml:space="preserve">Email: </w:t>
      </w:r>
      <w:r>
        <w:rPr>
          <w:rFonts w:ascii="Calibri" w:cs="Calibri" w:eastAsia="Calibri" w:hAnsi="Calibri"/>
          <w:color w:val="1A5276"/>
          <w:sz w:val="19"/>
          <w:szCs w:val="19"/>
          <w:u w:val="single"/>
        </w:rPr>
        <w:t xml:space="preserve">prachinakade410@gmail.com</w:t>
      </w:r>
      <w:r>
        <w:rPr>
          <w:rFonts w:ascii="Calibri" w:cs="Calibri" w:eastAsia="Calibri" w:hAnsi="Calibri"/>
          <w:color w:val="2C2C2C"/>
          <w:sz w:val="19"/>
          <w:szCs w:val="19"/>
        </w:rPr>
        <w:t xml:space="preserve">  |  LinkedIn: </w:t>
      </w:r>
      <w:r>
        <w:rPr>
          <w:rFonts w:ascii="Calibri" w:cs="Calibri" w:eastAsia="Calibri" w:hAnsi="Calibri"/>
          <w:color w:val="1A5276"/>
          <w:sz w:val="19"/>
          <w:szCs w:val="19"/>
          <w:u w:val="single"/>
        </w:rPr>
        <w:t xml:space="preserve">linkedin.com/in/prachi-nakade-8602a2134</w:t>
      </w:r>
    </w:p>
    <w:p>
      <w:pPr>
        <w:spacing w:after="40"/>
      </w:pPr>
      <w:r>
        <w:rPr>
          <w:rFonts w:ascii="Calibri" w:cs="Calibri" w:eastAsia="Calibri" w:hAnsi="Calibri"/>
          <w:color w:val="2C2C2C"/>
          <w:sz w:val="19"/>
          <w:szCs w:val="19"/>
        </w:rPr>
        <w:t xml:space="preserve">Address: 50676, Cologne, Germany</w:t>
      </w:r>
    </w:p>
    <w:p>
      <w:pPr>
        <w:spacing w:after="0"/>
      </w:pPr>
      <w:r>
        <w:rPr>
          <w:rFonts w:ascii="Calibri" w:cs="Calibri" w:eastAsia="Calibri" w:hAnsi="Calibri"/>
          <w:color w:val="2C2C2C"/>
          <w:sz w:val="19"/>
          <w:szCs w:val="19"/>
        </w:rPr>
        <w:t xml:space="preserve">Portfolio: </w:t>
      </w:r>
      <w:r>
        <w:rPr>
          <w:rFonts w:ascii="Calibri" w:cs="Calibri" w:eastAsia="Calibri" w:hAnsi="Calibri"/>
          <w:color w:val="1A5276"/>
          <w:sz w:val="19"/>
          <w:szCs w:val="19"/>
          <w:u w:val="single"/>
        </w:rPr>
        <w:t xml:space="preserve">www.confidantlyours.com</w:t>
      </w:r>
    </w:p>
    <w:p>
      <w:pPr>
        <w:spacing w:after="120" w:before="0"/>
      </w:pPr>
    </w:p>
    <w:p>
      <w:pPr>
        <w:spacing w:after="60" w:before="200"/>
      </w:pPr>
      <w:r>
        <w:rPr>
          <w:rFonts w:ascii="Calibri" w:cs="Calibri" w:eastAsia="Calibri" w:hAnsi="Calibri"/>
          <w:b/>
          <w:bCs/>
          <w:color w:val="1A1A1A"/>
          <w:sz w:val="20"/>
          <w:szCs w:val="20"/>
        </w:rPr>
        <w:t xml:space="preserve">● </w:t>
      </w:r>
      <w:r>
        <w:rPr>
          <w:rFonts w:ascii="Calibri" w:cs="Calibri" w:eastAsia="Calibri" w:hAnsi="Calibri"/>
          <w:b/>
          <w:bCs/>
          <w:color w:val="1A1A1A"/>
          <w:sz w:val="20"/>
          <w:szCs w:val="20"/>
          <w:u w:val="single" w:color="1A1A1A"/>
        </w:rPr>
        <w:t xml:space="preserve">ABOUT MYSELF</w:t>
      </w:r>
    </w:p>
    <w:p>
      <w:pPr>
        <w:pBdr>
          <w:bottom w:val="single" w:color="CCCCCC" w:sz="6" w:space="1"/>
        </w:pBdr>
        <w:spacing w:after="100" w:before="0"/>
      </w:pPr>
    </w:p>
    <w:p>
      <w:pPr>
        <w:spacing w:after="0"/>
      </w:pPr>
      <w:r>
        <w:rPr>
          <w:rFonts w:ascii="Calibri" w:cs="Calibri" w:eastAsia="Calibri" w:hAnsi="Calibri"/>
          <w:color w:val="1A1A1A"/>
          <w:sz w:val="19"/>
          <w:szCs w:val="19"/>
        </w:rPr>
        <w:t xml:space="preserve">Senior SAP Data &amp; Analytics Consultant with 10 years of end-to-end delivery experience across SAP BW, BW/4HANA, SAP Datasphere, SAP HANA Cloud, and SAP Analytics Cloud. Proven track record designing scalable data warehouse architectures, building complex BEx and SAC reporting layers, and delivering Native HANA solutions for global enterprise clients. Experienced across the full project lifecycle — from requirements analysis and data modelling through to performance tuning, go-live support, and technical documentation. Holds three SAP certifications and has led onshore/offshore teams delivering high-quality analytics solutions for Bayer AG and Burberry Group plc. Currently expanding expertise into AI — exploring SAP Business AI, Joule, SAP AI Core, and AI Foundations — to bring next-generation intelligence to data and analytics solutions.</w:t>
      </w:r>
    </w:p>
    <w:p>
      <w:pPr>
        <w:spacing w:after="60" w:before="200"/>
      </w:pPr>
      <w:r>
        <w:rPr>
          <w:rFonts w:ascii="Calibri" w:cs="Calibri" w:eastAsia="Calibri" w:hAnsi="Calibri"/>
          <w:b/>
          <w:bCs/>
          <w:color w:val="1A1A1A"/>
          <w:sz w:val="20"/>
          <w:szCs w:val="20"/>
        </w:rPr>
        <w:t xml:space="preserve">● </w:t>
      </w:r>
      <w:r>
        <w:rPr>
          <w:rFonts w:ascii="Calibri" w:cs="Calibri" w:eastAsia="Calibri" w:hAnsi="Calibri"/>
          <w:b/>
          <w:bCs/>
          <w:color w:val="1A1A1A"/>
          <w:sz w:val="20"/>
          <w:szCs w:val="20"/>
          <w:u w:val="single" w:color="1A1A1A"/>
        </w:rPr>
        <w:t xml:space="preserve">WORK EXPERIENCE</w:t>
      </w:r>
    </w:p>
    <w:p>
      <w:pPr>
        <w:pBdr>
          <w:bottom w:val="single" w:color="CCCCCC" w:sz="6" w:space="1"/>
        </w:pBdr>
        <w:spacing w:after="100" w:before="0"/>
      </w:pPr>
    </w:p>
    <w:p>
      <w:pPr>
        <w:spacing w:after="0" w:before="120"/>
      </w:pPr>
      <w:r>
        <w:rPr>
          <w:rFonts w:ascii="Calibri" w:cs="Calibri" w:eastAsia="Calibri" w:hAnsi="Calibri"/>
          <w:b/>
          <w:bCs/>
          <w:color w:val="1A1A1A"/>
          <w:sz w:val="20"/>
          <w:szCs w:val="20"/>
        </w:rPr>
        <w:t xml:space="preserve">Technical Lead - </w:t>
      </w:r>
      <w:r>
        <w:rPr>
          <w:rFonts w:ascii="Calibri" w:cs="Calibri" w:eastAsia="Calibri" w:hAnsi="Calibri"/>
          <w:b/>
          <w:bCs/>
          <w:color w:val="1A1A1A"/>
          <w:sz w:val="20"/>
          <w:szCs w:val="20"/>
        </w:rPr>
        <w:t xml:space="preserve">Cognizant Technology Solutions GmbH</w:t>
      </w:r>
    </w:p>
    <w:p>
      <w:pPr>
        <w:pBdr>
          <w:bottom w:val="single" w:color="DDDDDD" w:sz="4" w:space="2"/>
        </w:pBdr>
        <w:spacing w:after="60" w:before="0"/>
      </w:pPr>
      <w:r>
        <w:rPr>
          <w:rFonts w:ascii="Calibri" w:cs="Calibri" w:eastAsia="Calibri" w:hAnsi="Calibri"/>
          <w:i w:val="false"/>
          <w:iCs w:val="false"/>
          <w:color w:val="666666"/>
          <w:sz w:val="18"/>
          <w:szCs w:val="18"/>
        </w:rPr>
        <w:t xml:space="preserve">01/06/2022 – 31/12/2025  -  Cologne, Germany</w:t>
      </w:r>
    </w:p>
    <w:p>
      <w:pPr>
        <w:spacing w:after="40" w:before="60"/>
      </w:pPr>
      <w:r>
        <w:rPr>
          <w:rFonts w:ascii="Calibri" w:cs="Calibri" w:eastAsia="Calibri" w:hAnsi="Calibri"/>
          <w:color w:val="2C2C2C"/>
          <w:sz w:val="19"/>
          <w:szCs w:val="19"/>
        </w:rPr>
        <w:t xml:space="preserve">Client: Bayer AG</w:t>
      </w:r>
    </w:p>
    <w:p>
      <w:pPr>
        <w:pStyle w:val="ListParagraph"/>
        <w:numPr>
          <w:ilvl w:val="0"/>
          <w:numId w:val="2"/>
        </w:numPr>
        <w:spacing w:after="50"/>
      </w:pPr>
      <w:r>
        <w:rPr>
          <w:rFonts w:ascii="Calibri" w:cs="Calibri" w:eastAsia="Calibri" w:hAnsi="Calibri"/>
          <w:color w:val="1A1A1A"/>
          <w:sz w:val="19"/>
          <w:szCs w:val="19"/>
        </w:rPr>
        <w:t xml:space="preserve">Led onshore and offshore delivery teams across SAP analytics workstreams, managing requirements, estimates, sprint planning, and stakeholder communication for a global pharma enterprise.</w:t>
      </w:r>
    </w:p>
    <w:p>
      <w:pPr>
        <w:pStyle w:val="ListParagraph"/>
        <w:numPr>
          <w:ilvl w:val="0"/>
          <w:numId w:val="2"/>
        </w:numPr>
        <w:spacing w:after="50"/>
      </w:pPr>
      <w:r>
        <w:rPr>
          <w:rFonts w:ascii="Calibri" w:cs="Calibri" w:eastAsia="Calibri" w:hAnsi="Calibri"/>
          <w:color w:val="1A1A1A"/>
          <w:sz w:val="19"/>
          <w:szCs w:val="19"/>
        </w:rPr>
        <w:t xml:space="preserve">Supported ECC to S/4HANA migration from the SAP BW perspective — redesigned data extraction layers, remapped InfoProviders, and validated data integrity post-migration.</w:t>
      </w:r>
    </w:p>
    <w:p>
      <w:pPr>
        <w:pStyle w:val="ListParagraph"/>
        <w:numPr>
          <w:ilvl w:val="0"/>
          <w:numId w:val="2"/>
        </w:numPr>
        <w:spacing w:after="50"/>
      </w:pPr>
      <w:r>
        <w:rPr>
          <w:rFonts w:ascii="Calibri" w:cs="Calibri" w:eastAsia="Calibri" w:hAnsi="Calibri"/>
          <w:color w:val="1A1A1A"/>
          <w:sz w:val="19"/>
          <w:szCs w:val="19"/>
        </w:rPr>
        <w:t xml:space="preserve">Designed and implemented SAP Datasphere models (Spaces, Data Flows, Analytical Views, Business Entities) for cloud-native reporting; independently completed the SAP Datasphere certification.</w:t>
      </w:r>
    </w:p>
    <w:p>
      <w:pPr>
        <w:pStyle w:val="ListParagraph"/>
        <w:numPr>
          <w:ilvl w:val="0"/>
          <w:numId w:val="2"/>
        </w:numPr>
        <w:spacing w:after="50"/>
      </w:pPr>
      <w:r>
        <w:rPr>
          <w:rFonts w:ascii="Calibri" w:cs="Calibri" w:eastAsia="Calibri" w:hAnsi="Calibri"/>
          <w:color w:val="1A1A1A"/>
          <w:sz w:val="19"/>
          <w:szCs w:val="19"/>
        </w:rPr>
        <w:t xml:space="preserve">Architected end-to-end SAP-to-Google Cloud data pipelines: developed POCs for automated data loads, evaluated integration patterns, and streamlined ingestion processes for analytics consumption.</w:t>
      </w:r>
    </w:p>
    <w:p>
      <w:pPr>
        <w:pStyle w:val="ListParagraph"/>
        <w:numPr>
          <w:ilvl w:val="0"/>
          <w:numId w:val="2"/>
        </w:numPr>
        <w:spacing w:after="50"/>
      </w:pPr>
      <w:r>
        <w:rPr>
          <w:rFonts w:ascii="Calibri" w:cs="Calibri" w:eastAsia="Calibri" w:hAnsi="Calibri"/>
          <w:color w:val="1A1A1A"/>
          <w:sz w:val="19"/>
          <w:szCs w:val="19"/>
        </w:rPr>
        <w:t xml:space="preserve">Delivered SAP Analytics Cloud (SAC) dashboards and stories for Finance and Operations; configured live connections to BW/4HANA and HANA Cloud data models.</w:t>
      </w:r>
    </w:p>
    <w:p>
      <w:pPr>
        <w:pStyle w:val="ListParagraph"/>
        <w:numPr>
          <w:ilvl w:val="0"/>
          <w:numId w:val="2"/>
        </w:numPr>
        <w:spacing w:after="50"/>
      </w:pPr>
      <w:r>
        <w:rPr>
          <w:rFonts w:ascii="Calibri" w:cs="Calibri" w:eastAsia="Calibri" w:hAnsi="Calibri"/>
          <w:color w:val="1A1A1A"/>
          <w:sz w:val="19"/>
          <w:szCs w:val="19"/>
        </w:rPr>
        <w:t xml:space="preserve">Hands-on development in SAP HANA Cloud: web-based modelling, SQLScript, cloud-native data provisioning, and Calculation Views for reporting layer design.</w:t>
      </w:r>
    </w:p>
    <w:p>
      <w:pPr>
        <w:pStyle w:val="ListParagraph"/>
        <w:numPr>
          <w:ilvl w:val="0"/>
          <w:numId w:val="2"/>
        </w:numPr>
        <w:spacing w:after="50"/>
      </w:pPr>
      <w:r>
        <w:rPr>
          <w:rFonts w:ascii="Calibri" w:cs="Calibri" w:eastAsia="Calibri" w:hAnsi="Calibri"/>
          <w:color w:val="1A1A1A"/>
          <w:sz w:val="19"/>
          <w:szCs w:val="19"/>
        </w:rPr>
        <w:t xml:space="preserve">Worked with Native SAP HANA XSA architecture — maintained and extended XSOData services and XSJS backend logic for SAP-integrated applications.</w:t>
      </w:r>
    </w:p>
    <w:p>
      <w:pPr>
        <w:pStyle w:val="ListParagraph"/>
        <w:numPr>
          <w:ilvl w:val="0"/>
          <w:numId w:val="2"/>
        </w:numPr>
        <w:spacing w:after="50"/>
      </w:pPr>
      <w:r>
        <w:rPr>
          <w:rFonts w:ascii="Calibri" w:cs="Calibri" w:eastAsia="Calibri" w:hAnsi="Calibri"/>
          <w:color w:val="1A1A1A"/>
          <w:sz w:val="19"/>
          <w:szCs w:val="19"/>
        </w:rPr>
        <w:t xml:space="preserve">Delivered Power BI reports connected to SAP HANA Cloud; provided technical design guidance on hybrid SAP and non-SAP data integration scenarios.</w:t>
      </w:r>
    </w:p>
    <w:p>
      <w:pPr>
        <w:pStyle w:val="ListParagraph"/>
        <w:numPr>
          <w:ilvl w:val="0"/>
          <w:numId w:val="2"/>
        </w:numPr>
        <w:spacing w:after="50"/>
      </w:pPr>
      <w:r>
        <w:rPr>
          <w:rFonts w:ascii="Calibri" w:cs="Calibri" w:eastAsia="Calibri" w:hAnsi="Calibri"/>
          <w:color w:val="1A1A1A"/>
          <w:sz w:val="19"/>
          <w:szCs w:val="19"/>
        </w:rPr>
        <w:t xml:space="preserve">Explored SAP BTP integration patterns and cloud extension use cases in alignment with the client's cloud transformation roadmap.</w:t>
      </w:r>
    </w:p>
    <w:p>
      <w:pPr>
        <w:pStyle w:val="ListParagraph"/>
        <w:numPr>
          <w:ilvl w:val="0"/>
          <w:numId w:val="2"/>
        </w:numPr>
        <w:spacing w:after="50"/>
      </w:pPr>
      <w:r>
        <w:rPr>
          <w:rFonts w:ascii="Calibri" w:cs="Calibri" w:eastAsia="Calibri" w:hAnsi="Calibri"/>
          <w:color w:val="1A1A1A"/>
          <w:sz w:val="19"/>
          <w:szCs w:val="19"/>
        </w:rPr>
        <w:t xml:space="preserve">Actively upskilling in SAP Business AI and Joule — exploring AI-embedded analytics, Joule for SAP Datasphere, and foundational AI/ML concepts to integrate intelligent capabilities into future data solutions.</w:t>
      </w:r>
    </w:p>
    <w:p>
      <w:pPr>
        <w:spacing w:after="100" w:before="0"/>
      </w:pPr>
    </w:p>
    <w:p>
      <w:pPr>
        <w:spacing w:after="0" w:before="120"/>
      </w:pPr>
      <w:r>
        <w:rPr>
          <w:rFonts w:ascii="Calibri" w:cs="Calibri" w:eastAsia="Calibri" w:hAnsi="Calibri"/>
          <w:b/>
          <w:bCs/>
          <w:color w:val="1A1A1A"/>
          <w:sz w:val="20"/>
          <w:szCs w:val="20"/>
        </w:rPr>
        <w:t xml:space="preserve">Senior Consultant - </w:t>
      </w:r>
      <w:r>
        <w:rPr>
          <w:rFonts w:ascii="Calibri" w:cs="Calibri" w:eastAsia="Calibri" w:hAnsi="Calibri"/>
          <w:b/>
          <w:bCs/>
          <w:color w:val="1A1A1A"/>
          <w:sz w:val="20"/>
          <w:szCs w:val="20"/>
        </w:rPr>
        <w:t xml:space="preserve">Cognizant Technology Solutions India Pvt Ltd</w:t>
      </w:r>
    </w:p>
    <w:p>
      <w:pPr>
        <w:pBdr>
          <w:bottom w:val="single" w:color="DDDDDD" w:sz="4" w:space="2"/>
        </w:pBdr>
        <w:spacing w:after="60" w:before="0"/>
      </w:pPr>
      <w:r>
        <w:rPr>
          <w:rFonts w:ascii="Calibri" w:cs="Calibri" w:eastAsia="Calibri" w:hAnsi="Calibri"/>
          <w:i w:val="false"/>
          <w:iCs w:val="false"/>
          <w:color w:val="666666"/>
          <w:sz w:val="18"/>
          <w:szCs w:val="18"/>
        </w:rPr>
        <w:t xml:space="preserve">16/12/2020 – 31/05/2022  -  Pune, India</w:t>
      </w:r>
    </w:p>
    <w:p>
      <w:pPr>
        <w:spacing w:after="40" w:before="60"/>
      </w:pPr>
      <w:r>
        <w:rPr>
          <w:rFonts w:ascii="Calibri" w:cs="Calibri" w:eastAsia="Calibri" w:hAnsi="Calibri"/>
          <w:color w:val="2C2C2C"/>
          <w:sz w:val="19"/>
          <w:szCs w:val="19"/>
        </w:rPr>
        <w:t xml:space="preserve">Client: Bayer AG</w:t>
      </w:r>
    </w:p>
    <w:p>
      <w:pPr>
        <w:pStyle w:val="ListParagraph"/>
        <w:numPr>
          <w:ilvl w:val="0"/>
          <w:numId w:val="2"/>
        </w:numPr>
        <w:spacing w:after="50"/>
      </w:pPr>
      <w:r>
        <w:rPr>
          <w:rFonts w:ascii="Calibri" w:cs="Calibri" w:eastAsia="Calibri" w:hAnsi="Calibri"/>
          <w:color w:val="1A1A1A"/>
          <w:sz w:val="19"/>
          <w:szCs w:val="19"/>
        </w:rPr>
        <w:t xml:space="preserve">Managed the offshore delivery team as lead consultant, coordinating daily with the onshore team in Germany and directly with Bayer business stakeholders.</w:t>
      </w:r>
    </w:p>
    <w:p>
      <w:pPr>
        <w:pStyle w:val="ListParagraph"/>
        <w:numPr>
          <w:ilvl w:val="0"/>
          <w:numId w:val="2"/>
        </w:numPr>
        <w:spacing w:after="50"/>
      </w:pPr>
      <w:r>
        <w:rPr>
          <w:rFonts w:ascii="Calibri" w:cs="Calibri" w:eastAsia="Calibri" w:hAnsi="Calibri"/>
          <w:color w:val="1A1A1A"/>
          <w:sz w:val="19"/>
          <w:szCs w:val="19"/>
        </w:rPr>
        <w:t xml:space="preserve">Delivered enhancements, production support, and incident resolution across SAP BW and HANA-based analytics landscapes, maintaining SLA compliance.</w:t>
      </w:r>
    </w:p>
    <w:p>
      <w:pPr>
        <w:pStyle w:val="ListParagraph"/>
        <w:numPr>
          <w:ilvl w:val="0"/>
          <w:numId w:val="2"/>
        </w:numPr>
        <w:spacing w:after="50"/>
      </w:pPr>
      <w:r>
        <w:rPr>
          <w:rFonts w:ascii="Calibri" w:cs="Calibri" w:eastAsia="Calibri" w:hAnsi="Calibri"/>
          <w:color w:val="1A1A1A"/>
          <w:sz w:val="19"/>
          <w:szCs w:val="19"/>
        </w:rPr>
        <w:t xml:space="preserve">Gathered and documented business requirements; conducted feasibility assessments and provided detailed work estimates for analytics change requests.</w:t>
      </w:r>
    </w:p>
    <w:p>
      <w:pPr>
        <w:pStyle w:val="ListParagraph"/>
        <w:numPr>
          <w:ilvl w:val="0"/>
          <w:numId w:val="2"/>
        </w:numPr>
        <w:spacing w:after="50"/>
      </w:pPr>
      <w:r>
        <w:rPr>
          <w:rFonts w:ascii="Calibri" w:cs="Calibri" w:eastAsia="Calibri" w:hAnsi="Calibri"/>
          <w:color w:val="1A1A1A"/>
          <w:sz w:val="19"/>
          <w:szCs w:val="19"/>
        </w:rPr>
        <w:t xml:space="preserve">Designed and implemented planning, reporting, and analytics solutions in SAP HANA Cloud — built Calculation Views, analytic models, and data integration flows for FI/CO and COPA reporting.</w:t>
      </w:r>
    </w:p>
    <w:p>
      <w:pPr>
        <w:pStyle w:val="ListParagraph"/>
        <w:numPr>
          <w:ilvl w:val="0"/>
          <w:numId w:val="2"/>
        </w:numPr>
        <w:spacing w:after="50"/>
      </w:pPr>
      <w:r>
        <w:rPr>
          <w:rFonts w:ascii="Calibri" w:cs="Calibri" w:eastAsia="Calibri" w:hAnsi="Calibri"/>
          <w:color w:val="1A1A1A"/>
          <w:sz w:val="19"/>
          <w:szCs w:val="19"/>
        </w:rPr>
        <w:t xml:space="preserve">Developed BEx queries and Analysis for Office (AO) workbooks for self-service reporting by Finance and Controlling business users.</w:t>
      </w:r>
    </w:p>
    <w:p>
      <w:pPr>
        <w:pStyle w:val="ListParagraph"/>
        <w:numPr>
          <w:ilvl w:val="0"/>
          <w:numId w:val="2"/>
        </w:numPr>
        <w:spacing w:after="50"/>
      </w:pPr>
      <w:r>
        <w:rPr>
          <w:rFonts w:ascii="Calibri" w:cs="Calibri" w:eastAsia="Calibri" w:hAnsi="Calibri"/>
          <w:color w:val="1A1A1A"/>
          <w:sz w:val="19"/>
          <w:szCs w:val="19"/>
        </w:rPr>
        <w:t xml:space="preserve">Built a custom ETL tool to extract data from SAP and non-SAP sources into HANA tables, reducing manual data handling and improving data freshness.</w:t>
      </w:r>
    </w:p>
    <w:p>
      <w:pPr>
        <w:pStyle w:val="ListParagraph"/>
        <w:numPr>
          <w:ilvl w:val="0"/>
          <w:numId w:val="2"/>
        </w:numPr>
        <w:spacing w:after="50"/>
      </w:pPr>
      <w:r>
        <w:rPr>
          <w:rFonts w:ascii="Calibri" w:cs="Calibri" w:eastAsia="Calibri" w:hAnsi="Calibri"/>
          <w:color w:val="1A1A1A"/>
          <w:sz w:val="19"/>
          <w:szCs w:val="19"/>
        </w:rPr>
        <w:t xml:space="preserve">Integrated data via SAP UI5 and Talend into HANA target tables; developed XSOData and XSJS services for data access and process automation.</w:t>
      </w:r>
    </w:p>
    <w:p>
      <w:pPr>
        <w:pStyle w:val="ListParagraph"/>
        <w:numPr>
          <w:ilvl w:val="0"/>
          <w:numId w:val="2"/>
        </w:numPr>
        <w:spacing w:after="50"/>
      </w:pPr>
      <w:r>
        <w:rPr>
          <w:rFonts w:ascii="Calibri" w:cs="Calibri" w:eastAsia="Calibri" w:hAnsi="Calibri"/>
          <w:color w:val="1A1A1A"/>
          <w:sz w:val="19"/>
          <w:szCs w:val="19"/>
        </w:rPr>
        <w:t xml:space="preserve">Authored ABAP routines (start, end, expert routines) and customer exit code using Function Modules for BW transformations.</w:t>
      </w:r>
    </w:p>
    <w:p>
      <w:pPr>
        <w:pStyle w:val="ListParagraph"/>
        <w:numPr>
          <w:ilvl w:val="0"/>
          <w:numId w:val="2"/>
        </w:numPr>
        <w:spacing w:after="50"/>
      </w:pPr>
      <w:r>
        <w:rPr>
          <w:rFonts w:ascii="Calibri" w:cs="Calibri" w:eastAsia="Calibri" w:hAnsi="Calibri"/>
          <w:color w:val="1A1A1A"/>
          <w:sz w:val="19"/>
          <w:szCs w:val="19"/>
        </w:rPr>
        <w:t xml:space="preserve">Produced Tableau and Power BI reports connected to SAP HANA Cloud, supporting cross-functional business intelligence requirements.</w:t>
      </w:r>
    </w:p>
    <w:p>
      <w:pPr>
        <w:spacing w:after="100" w:before="0"/>
      </w:pPr>
    </w:p>
    <w:p>
      <w:pPr>
        <w:spacing w:after="0" w:before="120"/>
      </w:pPr>
      <w:r>
        <w:rPr>
          <w:rFonts w:ascii="Calibri" w:cs="Calibri" w:eastAsia="Calibri" w:hAnsi="Calibri"/>
          <w:b/>
          <w:bCs/>
          <w:color w:val="1A1A1A"/>
          <w:sz w:val="20"/>
          <w:szCs w:val="20"/>
        </w:rPr>
        <w:t xml:space="preserve">Senior Consultant - </w:t>
      </w:r>
      <w:r>
        <w:rPr>
          <w:rFonts w:ascii="Calibri" w:cs="Calibri" w:eastAsia="Calibri" w:hAnsi="Calibri"/>
          <w:b/>
          <w:bCs/>
          <w:color w:val="1A1A1A"/>
          <w:sz w:val="20"/>
          <w:szCs w:val="20"/>
        </w:rPr>
        <w:t xml:space="preserve">Capgemini India Pvt Ltd</w:t>
      </w:r>
    </w:p>
    <w:p>
      <w:pPr>
        <w:pBdr>
          <w:bottom w:val="single" w:color="DDDDDD" w:sz="4" w:space="2"/>
        </w:pBdr>
        <w:spacing w:after="60" w:before="0"/>
      </w:pPr>
      <w:r>
        <w:rPr>
          <w:rFonts w:ascii="Calibri" w:cs="Calibri" w:eastAsia="Calibri" w:hAnsi="Calibri"/>
          <w:i w:val="false"/>
          <w:iCs w:val="false"/>
          <w:color w:val="666666"/>
          <w:sz w:val="18"/>
          <w:szCs w:val="18"/>
        </w:rPr>
        <w:t xml:space="preserve">21/07/2016 – 11/12/2020  -  Mumbai, India</w:t>
      </w:r>
    </w:p>
    <w:p>
      <w:pPr>
        <w:spacing w:after="40" w:before="60"/>
      </w:pPr>
      <w:r>
        <w:rPr>
          <w:rFonts w:ascii="Calibri" w:cs="Calibri" w:eastAsia="Calibri" w:hAnsi="Calibri"/>
          <w:color w:val="2C2C2C"/>
          <w:sz w:val="19"/>
          <w:szCs w:val="19"/>
        </w:rPr>
        <w:t xml:space="preserve">Client: Burberry Group plc</w:t>
      </w:r>
    </w:p>
    <w:p>
      <w:pPr>
        <w:pStyle w:val="ListParagraph"/>
        <w:numPr>
          <w:ilvl w:val="0"/>
          <w:numId w:val="2"/>
        </w:numPr>
        <w:spacing w:after="50"/>
      </w:pPr>
      <w:r>
        <w:rPr>
          <w:rFonts w:ascii="Calibri" w:cs="Calibri" w:eastAsia="Calibri" w:hAnsi="Calibri"/>
          <w:color w:val="1A1A1A"/>
          <w:sz w:val="19"/>
          <w:szCs w:val="19"/>
        </w:rPr>
        <w:t xml:space="preserve">Implemented BW to SAP BW on HANA migration projects — redesigned InfoProviders, optimised data models for HANA in-memory processing, and validated reporting continuity post-migration.</w:t>
      </w:r>
    </w:p>
    <w:p>
      <w:pPr>
        <w:pStyle w:val="ListParagraph"/>
        <w:numPr>
          <w:ilvl w:val="0"/>
          <w:numId w:val="2"/>
        </w:numPr>
        <w:spacing w:after="50"/>
      </w:pPr>
      <w:r>
        <w:rPr>
          <w:rFonts w:ascii="Calibri" w:cs="Calibri" w:eastAsia="Calibri" w:hAnsi="Calibri"/>
          <w:color w:val="1A1A1A"/>
          <w:sz w:val="19"/>
          <w:szCs w:val="19"/>
        </w:rPr>
        <w:t xml:space="preserve">Worked on BW/4HANA implementation: designed ADSOs, Composite Providers, Open ODS Views, and Transformations following LSA++ methodology.</w:t>
      </w:r>
    </w:p>
    <w:p>
      <w:pPr>
        <w:pStyle w:val="ListParagraph"/>
        <w:numPr>
          <w:ilvl w:val="0"/>
          <w:numId w:val="2"/>
        </w:numPr>
        <w:spacing w:after="50"/>
      </w:pPr>
      <w:r>
        <w:rPr>
          <w:rFonts w:ascii="Calibri" w:cs="Calibri" w:eastAsia="Calibri" w:hAnsi="Calibri"/>
          <w:color w:val="1A1A1A"/>
          <w:sz w:val="19"/>
          <w:szCs w:val="19"/>
        </w:rPr>
        <w:t xml:space="preserve">SAP Native HANA: proficient in Partitioning, Data Provisioning, Modelling (Calculation, Analytical, Attribute Views), and Reporting for retail and supply chain domains.</w:t>
      </w:r>
    </w:p>
    <w:p>
      <w:pPr>
        <w:pStyle w:val="ListParagraph"/>
        <w:numPr>
          <w:ilvl w:val="0"/>
          <w:numId w:val="2"/>
        </w:numPr>
        <w:spacing w:after="50"/>
      </w:pPr>
      <w:r>
        <w:rPr>
          <w:rFonts w:ascii="Calibri" w:cs="Calibri" w:eastAsia="Calibri" w:hAnsi="Calibri"/>
          <w:color w:val="1A1A1A"/>
          <w:sz w:val="19"/>
          <w:szCs w:val="19"/>
        </w:rPr>
        <w:t xml:space="preserve">Replicated data from SAP and non-SAP sources to SAP HANA using SAP Landscape Transformation (SLT) — configured replication objects and monitored data loads.</w:t>
      </w:r>
    </w:p>
    <w:p>
      <w:pPr>
        <w:pStyle w:val="ListParagraph"/>
        <w:numPr>
          <w:ilvl w:val="0"/>
          <w:numId w:val="2"/>
        </w:numPr>
        <w:spacing w:after="50"/>
      </w:pPr>
      <w:r>
        <w:rPr>
          <w:rFonts w:ascii="Calibri" w:cs="Calibri" w:eastAsia="Calibri" w:hAnsi="Calibri"/>
          <w:color w:val="1A1A1A"/>
          <w:sz w:val="19"/>
          <w:szCs w:val="19"/>
        </w:rPr>
        <w:t xml:space="preserve">Worked on standard and generic DataSources; extended standard extractors and configured LO Cockpit extraction for SD, MM, and FI modules.</w:t>
      </w:r>
    </w:p>
    <w:p>
      <w:pPr>
        <w:pStyle w:val="ListParagraph"/>
        <w:numPr>
          <w:ilvl w:val="0"/>
          <w:numId w:val="2"/>
        </w:numPr>
        <w:spacing w:after="50"/>
      </w:pPr>
      <w:r>
        <w:rPr>
          <w:rFonts w:ascii="Calibri" w:cs="Calibri" w:eastAsia="Calibri" w:hAnsi="Calibri"/>
          <w:color w:val="1A1A1A"/>
          <w:sz w:val="19"/>
          <w:szCs w:val="19"/>
        </w:rPr>
        <w:t xml:space="preserve">Managed change requests and SAP transport management using SAP Solution Manager; authored functional and technical specifications for enhancements.</w:t>
      </w:r>
    </w:p>
    <w:p>
      <w:pPr>
        <w:spacing w:after="60" w:before="200"/>
      </w:pPr>
      <w:r>
        <w:rPr>
          <w:rFonts w:ascii="Calibri" w:cs="Calibri" w:eastAsia="Calibri" w:hAnsi="Calibri"/>
          <w:b/>
          <w:bCs/>
          <w:color w:val="1A1A1A"/>
          <w:sz w:val="20"/>
          <w:szCs w:val="20"/>
        </w:rPr>
        <w:t xml:space="preserve">● </w:t>
      </w:r>
      <w:r>
        <w:rPr>
          <w:rFonts w:ascii="Calibri" w:cs="Calibri" w:eastAsia="Calibri" w:hAnsi="Calibri"/>
          <w:b/>
          <w:bCs/>
          <w:color w:val="1A1A1A"/>
          <w:sz w:val="20"/>
          <w:szCs w:val="20"/>
          <w:u w:val="single" w:color="1A1A1A"/>
        </w:rPr>
        <w:t xml:space="preserve">SKILLS</w:t>
      </w:r>
    </w:p>
    <w:p>
      <w:pPr>
        <w:pBdr>
          <w:bottom w:val="single" w:color="CCCCCC" w:sz="6" w:space="1"/>
        </w:pBdr>
        <w:spacing w:after="100" w:before="0"/>
      </w:pPr>
    </w:p>
    <w:tbl>
      <w:tblPr>
        <w:tblW w:type="dxa" w:w="9400"/>
        <w:tblBorders>
          <w:top w:val="single" w:color="auto" w:sz="4"/>
          <w:left w:val="single" w:color="auto" w:sz="4"/>
          <w:bottom w:val="single" w:color="auto" w:sz="4"/>
          <w:right w:val="single" w:color="auto" w:sz="4"/>
          <w:insideH w:val="single" w:color="auto" w:sz="4"/>
          <w:insideV w:val="single" w:color="auto" w:sz="4"/>
        </w:tblBorders>
      </w:tblPr>
      <w:tblGrid>
        <w:gridCol w:w="3133"/>
        <w:gridCol w:w="3133"/>
        <w:gridCol w:w="3134"/>
      </w:tblGrid>
      <w:tr>
        <w:tc>
          <w:tcPr>
            <w:tcW w:type="dxa" w:w="3166"/>
            <w:tcBorders>
              <w:top w:val="none" w:color="FFFFFF" w:sz="0"/>
              <w:left w:val="none" w:color="FFFFFF" w:sz="0"/>
              <w:bottom w:val="none" w:color="FFFFFF" w:sz="0"/>
              <w:right w:val="none" w:color="FFFFFF" w:sz="0"/>
            </w:tcBorders>
            <w:tcMar>
              <w:top w:type="dxa" w:w="40"/>
              <w:left w:type="dxa" w:w="60"/>
              <w:bottom w:type="dxa" w:w="40"/>
              <w:right w:type="dxa" w:w="60"/>
            </w:tcMar>
          </w:tcPr>
          <w:p>
            <w:pPr>
              <w:spacing w:after="0"/>
            </w:pPr>
            <w:r>
              <w:rPr>
                <w:rFonts w:ascii="Calibri" w:cs="Calibri" w:eastAsia="Calibri" w:hAnsi="Calibri"/>
                <w:color w:val="1A1A1A"/>
                <w:sz w:val="19"/>
                <w:szCs w:val="19"/>
              </w:rPr>
              <w:t xml:space="preserve">• </w:t>
            </w:r>
            <w:r>
              <w:rPr>
                <w:rFonts w:ascii="Calibri" w:cs="Calibri" w:eastAsia="Calibri" w:hAnsi="Calibri"/>
                <w:color w:val="1A1A1A"/>
                <w:sz w:val="19"/>
                <w:szCs w:val="19"/>
              </w:rPr>
              <w:t xml:space="preserve">SAP Datasphere</w:t>
            </w:r>
          </w:p>
        </w:tc>
        <w:tc>
          <w:tcPr>
            <w:tcW w:type="dxa" w:w="3166"/>
            <w:tcBorders>
              <w:top w:val="none" w:color="FFFFFF" w:sz="0"/>
              <w:left w:val="none" w:color="FFFFFF" w:sz="0"/>
              <w:bottom w:val="none" w:color="FFFFFF" w:sz="0"/>
              <w:right w:val="none" w:color="FFFFFF" w:sz="0"/>
            </w:tcBorders>
            <w:tcMar>
              <w:top w:type="dxa" w:w="40"/>
              <w:left w:type="dxa" w:w="60"/>
              <w:bottom w:type="dxa" w:w="40"/>
              <w:right w:type="dxa" w:w="60"/>
            </w:tcMar>
          </w:tcPr>
          <w:p>
            <w:pPr>
              <w:spacing w:after="0"/>
            </w:pPr>
            <w:r>
              <w:rPr>
                <w:rFonts w:ascii="Calibri" w:cs="Calibri" w:eastAsia="Calibri" w:hAnsi="Calibri"/>
                <w:color w:val="1A1A1A"/>
                <w:sz w:val="19"/>
                <w:szCs w:val="19"/>
              </w:rPr>
              <w:t xml:space="preserve">• </w:t>
            </w:r>
            <w:r>
              <w:rPr>
                <w:rFonts w:ascii="Calibri" w:cs="Calibri" w:eastAsia="Calibri" w:hAnsi="Calibri"/>
                <w:color w:val="1A1A1A"/>
                <w:sz w:val="19"/>
                <w:szCs w:val="19"/>
              </w:rPr>
              <w:t xml:space="preserve">SAP Analytics Cloud (SAC)</w:t>
            </w:r>
          </w:p>
        </w:tc>
        <w:tc>
          <w:tcPr>
            <w:tcW w:type="dxa" w:w="3166"/>
            <w:tcBorders>
              <w:top w:val="none" w:color="FFFFFF" w:sz="0"/>
              <w:left w:val="none" w:color="FFFFFF" w:sz="0"/>
              <w:bottom w:val="none" w:color="FFFFFF" w:sz="0"/>
              <w:right w:val="none" w:color="FFFFFF" w:sz="0"/>
            </w:tcBorders>
            <w:tcMar>
              <w:top w:type="dxa" w:w="40"/>
              <w:left w:type="dxa" w:w="60"/>
              <w:bottom w:type="dxa" w:w="40"/>
              <w:right w:type="dxa" w:w="60"/>
            </w:tcMar>
          </w:tcPr>
          <w:p>
            <w:pPr>
              <w:spacing w:after="0"/>
            </w:pPr>
            <w:r>
              <w:rPr>
                <w:rFonts w:ascii="Calibri" w:cs="Calibri" w:eastAsia="Calibri" w:hAnsi="Calibri"/>
                <w:color w:val="1A1A1A"/>
                <w:sz w:val="19"/>
                <w:szCs w:val="19"/>
              </w:rPr>
              <w:t xml:space="preserve">• </w:t>
            </w:r>
            <w:r>
              <w:rPr>
                <w:rFonts w:ascii="Calibri" w:cs="Calibri" w:eastAsia="Calibri" w:hAnsi="Calibri"/>
                <w:color w:val="1A1A1A"/>
                <w:sz w:val="19"/>
                <w:szCs w:val="19"/>
              </w:rPr>
              <w:t xml:space="preserve">SAP BW4HANA</w:t>
            </w:r>
          </w:p>
        </w:tc>
      </w:tr>
      <w:tr>
        <w:tc>
          <w:tcPr>
            <w:tcW w:type="dxa" w:w="3166"/>
            <w:tcBorders>
              <w:top w:val="none" w:color="FFFFFF" w:sz="0"/>
              <w:left w:val="none" w:color="FFFFFF" w:sz="0"/>
              <w:bottom w:val="none" w:color="FFFFFF" w:sz="0"/>
              <w:right w:val="none" w:color="FFFFFF" w:sz="0"/>
            </w:tcBorders>
            <w:tcMar>
              <w:top w:type="dxa" w:w="40"/>
              <w:left w:type="dxa" w:w="60"/>
              <w:bottom w:type="dxa" w:w="40"/>
              <w:right w:type="dxa" w:w="60"/>
            </w:tcMar>
          </w:tcPr>
          <w:p>
            <w:pPr>
              <w:spacing w:after="0"/>
            </w:pPr>
            <w:r>
              <w:rPr>
                <w:rFonts w:ascii="Calibri" w:cs="Calibri" w:eastAsia="Calibri" w:hAnsi="Calibri"/>
                <w:color w:val="1A1A1A"/>
                <w:sz w:val="19"/>
                <w:szCs w:val="19"/>
              </w:rPr>
              <w:t xml:space="preserve">• </w:t>
            </w:r>
            <w:r>
              <w:rPr>
                <w:rFonts w:ascii="Calibri" w:cs="Calibri" w:eastAsia="Calibri" w:hAnsi="Calibri"/>
                <w:color w:val="1A1A1A"/>
                <w:sz w:val="19"/>
                <w:szCs w:val="19"/>
              </w:rPr>
              <w:t xml:space="preserve">SAP BW on HANA</w:t>
            </w:r>
          </w:p>
        </w:tc>
        <w:tc>
          <w:tcPr>
            <w:tcW w:type="dxa" w:w="3166"/>
            <w:tcBorders>
              <w:top w:val="none" w:color="FFFFFF" w:sz="0"/>
              <w:left w:val="none" w:color="FFFFFF" w:sz="0"/>
              <w:bottom w:val="none" w:color="FFFFFF" w:sz="0"/>
              <w:right w:val="none" w:color="FFFFFF" w:sz="0"/>
            </w:tcBorders>
            <w:tcMar>
              <w:top w:type="dxa" w:w="40"/>
              <w:left w:type="dxa" w:w="60"/>
              <w:bottom w:type="dxa" w:w="40"/>
              <w:right w:type="dxa" w:w="60"/>
            </w:tcMar>
          </w:tcPr>
          <w:p>
            <w:pPr>
              <w:spacing w:after="0"/>
            </w:pPr>
            <w:r>
              <w:rPr>
                <w:rFonts w:ascii="Calibri" w:cs="Calibri" w:eastAsia="Calibri" w:hAnsi="Calibri"/>
                <w:color w:val="1A1A1A"/>
                <w:sz w:val="19"/>
                <w:szCs w:val="19"/>
              </w:rPr>
              <w:t xml:space="preserve">• </w:t>
            </w:r>
            <w:r>
              <w:rPr>
                <w:rFonts w:ascii="Calibri" w:cs="Calibri" w:eastAsia="Calibri" w:hAnsi="Calibri"/>
                <w:color w:val="1A1A1A"/>
                <w:sz w:val="19"/>
                <w:szCs w:val="19"/>
              </w:rPr>
              <w:t xml:space="preserve">SAP HANA Cloud</w:t>
            </w:r>
          </w:p>
        </w:tc>
        <w:tc>
          <w:tcPr>
            <w:tcW w:type="dxa" w:w="3166"/>
            <w:tcBorders>
              <w:top w:val="none" w:color="FFFFFF" w:sz="0"/>
              <w:left w:val="none" w:color="FFFFFF" w:sz="0"/>
              <w:bottom w:val="none" w:color="FFFFFF" w:sz="0"/>
              <w:right w:val="none" w:color="FFFFFF" w:sz="0"/>
            </w:tcBorders>
            <w:tcMar>
              <w:top w:type="dxa" w:w="40"/>
              <w:left w:type="dxa" w:w="60"/>
              <w:bottom w:type="dxa" w:w="40"/>
              <w:right w:type="dxa" w:w="60"/>
            </w:tcMar>
          </w:tcPr>
          <w:p>
            <w:pPr>
              <w:spacing w:after="0"/>
            </w:pPr>
            <w:r>
              <w:rPr>
                <w:rFonts w:ascii="Calibri" w:cs="Calibri" w:eastAsia="Calibri" w:hAnsi="Calibri"/>
                <w:color w:val="1A1A1A"/>
                <w:sz w:val="19"/>
                <w:szCs w:val="19"/>
              </w:rPr>
              <w:t xml:space="preserve">• </w:t>
            </w:r>
            <w:r>
              <w:rPr>
                <w:rFonts w:ascii="Calibri" w:cs="Calibri" w:eastAsia="Calibri" w:hAnsi="Calibri"/>
                <w:color w:val="1A1A1A"/>
                <w:sz w:val="19"/>
                <w:szCs w:val="19"/>
              </w:rPr>
              <w:t xml:space="preserve">SAP Native HANA</w:t>
            </w:r>
          </w:p>
        </w:tc>
      </w:tr>
      <w:tr>
        <w:tc>
          <w:tcPr>
            <w:tcW w:type="dxa" w:w="3166"/>
            <w:tcBorders>
              <w:top w:val="none" w:color="FFFFFF" w:sz="0"/>
              <w:left w:val="none" w:color="FFFFFF" w:sz="0"/>
              <w:bottom w:val="none" w:color="FFFFFF" w:sz="0"/>
              <w:right w:val="none" w:color="FFFFFF" w:sz="0"/>
            </w:tcBorders>
            <w:tcMar>
              <w:top w:type="dxa" w:w="40"/>
              <w:left w:type="dxa" w:w="60"/>
              <w:bottom w:type="dxa" w:w="40"/>
              <w:right w:type="dxa" w:w="60"/>
            </w:tcMar>
          </w:tcPr>
          <w:p>
            <w:pPr>
              <w:spacing w:after="0"/>
            </w:pPr>
            <w:r>
              <w:rPr>
                <w:rFonts w:ascii="Calibri" w:cs="Calibri" w:eastAsia="Calibri" w:hAnsi="Calibri"/>
                <w:color w:val="1A1A1A"/>
                <w:sz w:val="19"/>
                <w:szCs w:val="19"/>
              </w:rPr>
              <w:t xml:space="preserve">• </w:t>
            </w:r>
            <w:r>
              <w:rPr>
                <w:rFonts w:ascii="Calibri" w:cs="Calibri" w:eastAsia="Calibri" w:hAnsi="Calibri"/>
                <w:color w:val="1A1A1A"/>
                <w:sz w:val="19"/>
                <w:szCs w:val="19"/>
              </w:rPr>
              <w:t xml:space="preserve">SAP BW</w:t>
            </w:r>
          </w:p>
        </w:tc>
        <w:tc>
          <w:tcPr>
            <w:tcW w:type="dxa" w:w="3166"/>
            <w:tcBorders>
              <w:top w:val="none" w:color="FFFFFF" w:sz="0"/>
              <w:left w:val="none" w:color="FFFFFF" w:sz="0"/>
              <w:bottom w:val="none" w:color="FFFFFF" w:sz="0"/>
              <w:right w:val="none" w:color="FFFFFF" w:sz="0"/>
            </w:tcBorders>
            <w:tcMar>
              <w:top w:type="dxa" w:w="40"/>
              <w:left w:type="dxa" w:w="60"/>
              <w:bottom w:type="dxa" w:w="40"/>
              <w:right w:type="dxa" w:w="60"/>
            </w:tcMar>
          </w:tcPr>
          <w:p>
            <w:pPr>
              <w:spacing w:after="0"/>
            </w:pPr>
            <w:r>
              <w:rPr>
                <w:rFonts w:ascii="Calibri" w:cs="Calibri" w:eastAsia="Calibri" w:hAnsi="Calibri"/>
                <w:color w:val="1A1A1A"/>
                <w:sz w:val="19"/>
                <w:szCs w:val="19"/>
              </w:rPr>
              <w:t xml:space="preserve">• </w:t>
            </w:r>
            <w:r>
              <w:rPr>
                <w:rFonts w:ascii="Calibri" w:cs="Calibri" w:eastAsia="Calibri" w:hAnsi="Calibri"/>
                <w:color w:val="1A1A1A"/>
                <w:sz w:val="19"/>
                <w:szCs w:val="19"/>
              </w:rPr>
              <w:t xml:space="preserve">SAP S/4HANA</w:t>
            </w:r>
          </w:p>
        </w:tc>
        <w:tc>
          <w:tcPr>
            <w:tcW w:type="dxa" w:w="3166"/>
            <w:tcBorders>
              <w:top w:val="none" w:color="FFFFFF" w:sz="0"/>
              <w:left w:val="none" w:color="FFFFFF" w:sz="0"/>
              <w:bottom w:val="none" w:color="FFFFFF" w:sz="0"/>
              <w:right w:val="none" w:color="FFFFFF" w:sz="0"/>
            </w:tcBorders>
            <w:tcMar>
              <w:top w:type="dxa" w:w="40"/>
              <w:left w:type="dxa" w:w="60"/>
              <w:bottom w:type="dxa" w:w="40"/>
              <w:right w:type="dxa" w:w="60"/>
            </w:tcMar>
          </w:tcPr>
          <w:p>
            <w:pPr>
              <w:spacing w:after="0"/>
            </w:pPr>
            <w:r>
              <w:rPr>
                <w:rFonts w:ascii="Calibri" w:cs="Calibri" w:eastAsia="Calibri" w:hAnsi="Calibri"/>
                <w:color w:val="1A1A1A"/>
                <w:sz w:val="19"/>
                <w:szCs w:val="19"/>
              </w:rPr>
              <w:t xml:space="preserve">• </w:t>
            </w:r>
            <w:r>
              <w:rPr>
                <w:rFonts w:ascii="Calibri" w:cs="Calibri" w:eastAsia="Calibri" w:hAnsi="Calibri"/>
                <w:color w:val="1A1A1A"/>
                <w:sz w:val="19"/>
                <w:szCs w:val="19"/>
              </w:rPr>
              <w:t xml:space="preserve">SAP ECC</w:t>
            </w:r>
          </w:p>
        </w:tc>
      </w:tr>
      <w:tr>
        <w:tc>
          <w:tcPr>
            <w:tcW w:type="dxa" w:w="3166"/>
            <w:tcBorders>
              <w:top w:val="none" w:color="FFFFFF" w:sz="0"/>
              <w:left w:val="none" w:color="FFFFFF" w:sz="0"/>
              <w:bottom w:val="none" w:color="FFFFFF" w:sz="0"/>
              <w:right w:val="none" w:color="FFFFFF" w:sz="0"/>
            </w:tcBorders>
            <w:tcMar>
              <w:top w:type="dxa" w:w="40"/>
              <w:left w:type="dxa" w:w="60"/>
              <w:bottom w:type="dxa" w:w="40"/>
              <w:right w:type="dxa" w:w="60"/>
            </w:tcMar>
          </w:tcPr>
          <w:p>
            <w:pPr>
              <w:spacing w:after="0"/>
            </w:pPr>
            <w:r>
              <w:rPr>
                <w:rFonts w:ascii="Calibri" w:cs="Calibri" w:eastAsia="Calibri" w:hAnsi="Calibri"/>
                <w:color w:val="1A1A1A"/>
                <w:sz w:val="19"/>
                <w:szCs w:val="19"/>
              </w:rPr>
              <w:t xml:space="preserve">• </w:t>
            </w:r>
            <w:r>
              <w:rPr>
                <w:rFonts w:ascii="Calibri" w:cs="Calibri" w:eastAsia="Calibri" w:hAnsi="Calibri"/>
                <w:color w:val="1A1A1A"/>
                <w:sz w:val="19"/>
                <w:szCs w:val="19"/>
              </w:rPr>
              <w:t xml:space="preserve">SAP ABAP</w:t>
            </w:r>
          </w:p>
        </w:tc>
        <w:tc>
          <w:tcPr>
            <w:tcW w:type="dxa" w:w="3166"/>
            <w:tcBorders>
              <w:top w:val="none" w:color="FFFFFF" w:sz="0"/>
              <w:left w:val="none" w:color="FFFFFF" w:sz="0"/>
              <w:bottom w:val="none" w:color="FFFFFF" w:sz="0"/>
              <w:right w:val="none" w:color="FFFFFF" w:sz="0"/>
            </w:tcBorders>
            <w:tcMar>
              <w:top w:type="dxa" w:w="40"/>
              <w:left w:type="dxa" w:w="60"/>
              <w:bottom w:type="dxa" w:w="40"/>
              <w:right w:type="dxa" w:w="60"/>
            </w:tcMar>
          </w:tcPr>
          <w:p>
            <w:pPr>
              <w:spacing w:after="0"/>
            </w:pPr>
            <w:r>
              <w:rPr>
                <w:rFonts w:ascii="Calibri" w:cs="Calibri" w:eastAsia="Calibri" w:hAnsi="Calibri"/>
                <w:color w:val="1A1A1A"/>
                <w:sz w:val="19"/>
                <w:szCs w:val="19"/>
              </w:rPr>
              <w:t xml:space="preserve">• </w:t>
            </w:r>
            <w:r>
              <w:rPr>
                <w:rFonts w:ascii="Calibri" w:cs="Calibri" w:eastAsia="Calibri" w:hAnsi="Calibri"/>
                <w:color w:val="1A1A1A"/>
                <w:sz w:val="19"/>
                <w:szCs w:val="19"/>
              </w:rPr>
              <w:t xml:space="preserve">SAP BTP</w:t>
            </w:r>
          </w:p>
        </w:tc>
        <w:tc>
          <w:tcPr>
            <w:tcW w:type="dxa" w:w="3166"/>
            <w:tcBorders>
              <w:top w:val="none" w:color="FFFFFF" w:sz="0"/>
              <w:left w:val="none" w:color="FFFFFF" w:sz="0"/>
              <w:bottom w:val="none" w:color="FFFFFF" w:sz="0"/>
              <w:right w:val="none" w:color="FFFFFF" w:sz="0"/>
            </w:tcBorders>
            <w:tcMar>
              <w:top w:type="dxa" w:w="40"/>
              <w:left w:type="dxa" w:w="60"/>
              <w:bottom w:type="dxa" w:w="40"/>
              <w:right w:type="dxa" w:w="60"/>
            </w:tcMar>
          </w:tcPr>
          <w:p>
            <w:pPr>
              <w:spacing w:after="0"/>
            </w:pPr>
            <w:r>
              <w:rPr>
                <w:rFonts w:ascii="Calibri" w:cs="Calibri" w:eastAsia="Calibri" w:hAnsi="Calibri"/>
                <w:color w:val="1A1A1A"/>
                <w:sz w:val="19"/>
                <w:szCs w:val="19"/>
              </w:rPr>
              <w:t xml:space="preserve">• </w:t>
            </w:r>
            <w:r>
              <w:rPr>
                <w:rFonts w:ascii="Calibri" w:cs="Calibri" w:eastAsia="Calibri" w:hAnsi="Calibri"/>
                <w:color w:val="1A1A1A"/>
                <w:sz w:val="19"/>
                <w:szCs w:val="19"/>
              </w:rPr>
              <w:t xml:space="preserve">BEx Query Designer</w:t>
            </w:r>
          </w:p>
        </w:tc>
      </w:tr>
      <w:tr>
        <w:tc>
          <w:tcPr>
            <w:tcW w:type="dxa" w:w="3166"/>
            <w:tcBorders>
              <w:top w:val="none" w:color="FFFFFF" w:sz="0"/>
              <w:left w:val="none" w:color="FFFFFF" w:sz="0"/>
              <w:bottom w:val="none" w:color="FFFFFF" w:sz="0"/>
              <w:right w:val="none" w:color="FFFFFF" w:sz="0"/>
            </w:tcBorders>
            <w:tcMar>
              <w:top w:type="dxa" w:w="40"/>
              <w:left w:type="dxa" w:w="60"/>
              <w:bottom w:type="dxa" w:w="40"/>
              <w:right w:type="dxa" w:w="60"/>
            </w:tcMar>
          </w:tcPr>
          <w:p>
            <w:pPr>
              <w:spacing w:after="0"/>
            </w:pPr>
            <w:r>
              <w:rPr>
                <w:rFonts w:ascii="Calibri" w:cs="Calibri" w:eastAsia="Calibri" w:hAnsi="Calibri"/>
                <w:color w:val="1A1A1A"/>
                <w:sz w:val="19"/>
                <w:szCs w:val="19"/>
              </w:rPr>
              <w:t xml:space="preserve">• </w:t>
            </w:r>
            <w:r>
              <w:rPr>
                <w:rFonts w:ascii="Calibri" w:cs="Calibri" w:eastAsia="Calibri" w:hAnsi="Calibri"/>
                <w:color w:val="1A1A1A"/>
                <w:sz w:val="19"/>
                <w:szCs w:val="19"/>
              </w:rPr>
              <w:t xml:space="preserve">Analysis for Office</w:t>
            </w:r>
          </w:p>
        </w:tc>
        <w:tc>
          <w:tcPr>
            <w:tcW w:type="dxa" w:w="3166"/>
            <w:tcBorders>
              <w:top w:val="none" w:color="FFFFFF" w:sz="0"/>
              <w:left w:val="none" w:color="FFFFFF" w:sz="0"/>
              <w:bottom w:val="none" w:color="FFFFFF" w:sz="0"/>
              <w:right w:val="none" w:color="FFFFFF" w:sz="0"/>
            </w:tcBorders>
            <w:tcMar>
              <w:top w:type="dxa" w:w="40"/>
              <w:left w:type="dxa" w:w="60"/>
              <w:bottom w:type="dxa" w:w="40"/>
              <w:right w:type="dxa" w:w="60"/>
            </w:tcMar>
          </w:tcPr>
          <w:p>
            <w:pPr>
              <w:spacing w:after="0"/>
            </w:pPr>
            <w:r>
              <w:rPr>
                <w:rFonts w:ascii="Calibri" w:cs="Calibri" w:eastAsia="Calibri" w:hAnsi="Calibri"/>
                <w:color w:val="1A1A1A"/>
                <w:sz w:val="19"/>
                <w:szCs w:val="19"/>
              </w:rPr>
              <w:t xml:space="preserve">• </w:t>
            </w:r>
            <w:r>
              <w:rPr>
                <w:rFonts w:ascii="Calibri" w:cs="Calibri" w:eastAsia="Calibri" w:hAnsi="Calibri"/>
                <w:color w:val="1A1A1A"/>
                <w:sz w:val="19"/>
                <w:szCs w:val="19"/>
              </w:rPr>
              <w:t xml:space="preserve">SAP Lumira</w:t>
            </w:r>
          </w:p>
        </w:tc>
        <w:tc>
          <w:tcPr>
            <w:tcW w:type="dxa" w:w="3166"/>
            <w:tcBorders>
              <w:top w:val="none" w:color="FFFFFF" w:sz="0"/>
              <w:left w:val="none" w:color="FFFFFF" w:sz="0"/>
              <w:bottom w:val="none" w:color="FFFFFF" w:sz="0"/>
              <w:right w:val="none" w:color="FFFFFF" w:sz="0"/>
            </w:tcBorders>
            <w:tcMar>
              <w:top w:type="dxa" w:w="40"/>
              <w:left w:type="dxa" w:w="60"/>
              <w:bottom w:type="dxa" w:w="40"/>
              <w:right w:type="dxa" w:w="60"/>
            </w:tcMar>
          </w:tcPr>
          <w:p>
            <w:pPr>
              <w:spacing w:after="0"/>
            </w:pPr>
            <w:r>
              <w:rPr>
                <w:rFonts w:ascii="Calibri" w:cs="Calibri" w:eastAsia="Calibri" w:hAnsi="Calibri"/>
                <w:color w:val="1A1A1A"/>
                <w:sz w:val="19"/>
                <w:szCs w:val="19"/>
              </w:rPr>
              <w:t xml:space="preserve">• </w:t>
            </w:r>
            <w:r>
              <w:rPr>
                <w:rFonts w:ascii="Calibri" w:cs="Calibri" w:eastAsia="Calibri" w:hAnsi="Calibri"/>
                <w:color w:val="1A1A1A"/>
                <w:sz w:val="19"/>
                <w:szCs w:val="19"/>
              </w:rPr>
              <w:t xml:space="preserve">SAP Business AI / Joule</w:t>
            </w:r>
          </w:p>
        </w:tc>
      </w:tr>
      <w:tr>
        <w:tc>
          <w:tcPr>
            <w:tcW w:type="dxa" w:w="3166"/>
            <w:tcBorders>
              <w:top w:val="none" w:color="FFFFFF" w:sz="0"/>
              <w:left w:val="none" w:color="FFFFFF" w:sz="0"/>
              <w:bottom w:val="none" w:color="FFFFFF" w:sz="0"/>
              <w:right w:val="none" w:color="FFFFFF" w:sz="0"/>
            </w:tcBorders>
            <w:tcMar>
              <w:top w:type="dxa" w:w="40"/>
              <w:left w:type="dxa" w:w="60"/>
              <w:bottom w:type="dxa" w:w="40"/>
              <w:right w:type="dxa" w:w="60"/>
            </w:tcMar>
          </w:tcPr>
          <w:p>
            <w:pPr>
              <w:spacing w:after="0"/>
            </w:pPr>
            <w:r>
              <w:rPr>
                <w:rFonts w:ascii="Calibri" w:cs="Calibri" w:eastAsia="Calibri" w:hAnsi="Calibri"/>
                <w:color w:val="1A1A1A"/>
                <w:sz w:val="19"/>
                <w:szCs w:val="19"/>
              </w:rPr>
              <w:t xml:space="preserve">• </w:t>
            </w:r>
            <w:r>
              <w:rPr>
                <w:rFonts w:ascii="Calibri" w:cs="Calibri" w:eastAsia="Calibri" w:hAnsi="Calibri"/>
                <w:color w:val="1A1A1A"/>
                <w:sz w:val="19"/>
                <w:szCs w:val="19"/>
              </w:rPr>
              <w:t xml:space="preserve">AI Foundations (in progress)</w:t>
            </w:r>
          </w:p>
        </w:tc>
        <w:tc>
          <w:tcPr>
            <w:tcW w:type="dxa" w:w="3166"/>
            <w:tcBorders>
              <w:top w:val="none" w:color="FFFFFF" w:sz="0"/>
              <w:left w:val="none" w:color="FFFFFF" w:sz="0"/>
              <w:bottom w:val="none" w:color="FFFFFF" w:sz="0"/>
              <w:right w:val="none" w:color="FFFFFF" w:sz="0"/>
            </w:tcBorders>
            <w:tcMar>
              <w:top w:type="dxa" w:w="40"/>
              <w:left w:type="dxa" w:w="60"/>
              <w:bottom w:type="dxa" w:w="40"/>
              <w:right w:type="dxa" w:w="60"/>
            </w:tcMar>
          </w:tcPr>
          <w:p>
            <w:pPr>
              <w:spacing w:after="0"/>
            </w:pPr>
            <w:r>
              <w:rPr>
                <w:rFonts w:ascii="Calibri" w:cs="Calibri" w:eastAsia="Calibri" w:hAnsi="Calibri"/>
                <w:color w:val="1A1A1A"/>
                <w:sz w:val="19"/>
                <w:szCs w:val="19"/>
              </w:rPr>
              <w:t xml:space="preserve">• </w:t>
            </w:r>
            <w:r>
              <w:rPr>
                <w:rFonts w:ascii="Calibri" w:cs="Calibri" w:eastAsia="Calibri" w:hAnsi="Calibri"/>
                <w:color w:val="1A1A1A"/>
                <w:sz w:val="19"/>
                <w:szCs w:val="19"/>
              </w:rPr>
              <w:t xml:space="preserve">SAP AI Core &amp; BTP AI</w:t>
            </w:r>
          </w:p>
        </w:tc>
        <w:tc>
          <w:tcPr>
            <w:tcW w:type="dxa" w:w="3166"/>
            <w:tcBorders>
              <w:top w:val="none" w:color="FFFFFF" w:sz="0"/>
              <w:left w:val="none" w:color="FFFFFF" w:sz="0"/>
              <w:bottom w:val="none" w:color="FFFFFF" w:sz="0"/>
              <w:right w:val="none" w:color="FFFFFF" w:sz="0"/>
            </w:tcBorders>
            <w:tcMar>
              <w:top w:type="dxa" w:w="40"/>
              <w:left w:type="dxa" w:w="60"/>
              <w:bottom w:type="dxa" w:w="40"/>
              <w:right w:type="dxa" w:w="60"/>
            </w:tcMar>
          </w:tcPr>
          <w:p>
            <w:pPr>
              <w:spacing w:after="0"/>
            </w:pPr>
            <w:r>
              <w:rPr>
                <w:rFonts w:ascii="Calibri" w:cs="Calibri" w:eastAsia="Calibri" w:hAnsi="Calibri"/>
                <w:color w:val="1A1A1A"/>
                <w:sz w:val="19"/>
                <w:szCs w:val="19"/>
              </w:rPr>
              <w:t xml:space="preserve">• </w:t>
            </w:r>
            <w:r>
              <w:rPr>
                <w:rFonts w:ascii="Calibri" w:cs="Calibri" w:eastAsia="Calibri" w:hAnsi="Calibri"/>
                <w:color w:val="1A1A1A"/>
                <w:sz w:val="19"/>
                <w:szCs w:val="19"/>
              </w:rPr>
              <w:t xml:space="preserve">Prompt Engineering</w:t>
            </w:r>
          </w:p>
        </w:tc>
      </w:tr>
      <w:tr>
        <w:tc>
          <w:tcPr>
            <w:tcW w:type="dxa" w:w="3166"/>
            <w:tcBorders>
              <w:top w:val="none" w:color="FFFFFF" w:sz="0"/>
              <w:left w:val="none" w:color="FFFFFF" w:sz="0"/>
              <w:bottom w:val="none" w:color="FFFFFF" w:sz="0"/>
              <w:right w:val="none" w:color="FFFFFF" w:sz="0"/>
            </w:tcBorders>
            <w:tcMar>
              <w:top w:type="dxa" w:w="40"/>
              <w:left w:type="dxa" w:w="60"/>
              <w:bottom w:type="dxa" w:w="40"/>
              <w:right w:type="dxa" w:w="60"/>
            </w:tcMar>
          </w:tcPr>
          <w:p>
            <w:pPr>
              <w:spacing w:after="0"/>
            </w:pPr>
            <w:r>
              <w:rPr>
                <w:rFonts w:ascii="Calibri" w:cs="Calibri" w:eastAsia="Calibri" w:hAnsi="Calibri"/>
                <w:color w:val="1A1A1A"/>
                <w:sz w:val="19"/>
                <w:szCs w:val="19"/>
              </w:rPr>
              <w:t xml:space="preserve">• </w:t>
            </w:r>
            <w:r>
              <w:rPr>
                <w:rFonts w:ascii="Calibri" w:cs="Calibri" w:eastAsia="Calibri" w:hAnsi="Calibri"/>
                <w:color w:val="1A1A1A"/>
                <w:sz w:val="19"/>
                <w:szCs w:val="19"/>
              </w:rPr>
              <w:t xml:space="preserve">Machine Learning Basics</w:t>
            </w:r>
          </w:p>
        </w:tc>
        <w:tc>
          <w:tcPr>
            <w:tcW w:type="dxa" w:w="3166"/>
            <w:tcBorders>
              <w:top w:val="none" w:color="FFFFFF" w:sz="0"/>
              <w:left w:val="none" w:color="FFFFFF" w:sz="0"/>
              <w:bottom w:val="none" w:color="FFFFFF" w:sz="0"/>
              <w:right w:val="none" w:color="FFFFFF" w:sz="0"/>
            </w:tcBorders>
            <w:tcMar>
              <w:top w:type="dxa" w:w="40"/>
              <w:left w:type="dxa" w:w="60"/>
              <w:bottom w:type="dxa" w:w="40"/>
              <w:right w:type="dxa" w:w="60"/>
            </w:tcMar>
          </w:tcPr>
          <w:p>
            <w:pPr>
              <w:spacing w:after="0"/>
            </w:pPr>
            <w:r>
              <w:rPr>
                <w:rFonts w:ascii="Calibri" w:cs="Calibri" w:eastAsia="Calibri" w:hAnsi="Calibri"/>
                <w:color w:val="1A1A1A"/>
                <w:sz w:val="19"/>
                <w:szCs w:val="19"/>
              </w:rPr>
              <w:t xml:space="preserve">• </w:t>
            </w:r>
            <w:r>
              <w:rPr>
                <w:rFonts w:ascii="Calibri" w:cs="Calibri" w:eastAsia="Calibri" w:hAnsi="Calibri"/>
                <w:color w:val="1A1A1A"/>
                <w:sz w:val="19"/>
                <w:szCs w:val="19"/>
              </w:rPr>
              <w:t xml:space="preserve">SQL / SQLScript</w:t>
            </w:r>
          </w:p>
        </w:tc>
        <w:tc>
          <w:tcPr>
            <w:tcW w:type="dxa" w:w="3166"/>
            <w:tcBorders>
              <w:top w:val="none" w:color="FFFFFF" w:sz="0"/>
              <w:left w:val="none" w:color="FFFFFF" w:sz="0"/>
              <w:bottom w:val="none" w:color="FFFFFF" w:sz="0"/>
              <w:right w:val="none" w:color="FFFFFF" w:sz="0"/>
            </w:tcBorders>
            <w:tcMar>
              <w:top w:type="dxa" w:w="40"/>
              <w:left w:type="dxa" w:w="60"/>
              <w:bottom w:type="dxa" w:w="40"/>
              <w:right w:type="dxa" w:w="60"/>
            </w:tcMar>
          </w:tcPr>
          <w:p>
            <w:pPr>
              <w:spacing w:after="0"/>
            </w:pPr>
            <w:r>
              <w:rPr>
                <w:rFonts w:ascii="Calibri" w:cs="Calibri" w:eastAsia="Calibri" w:hAnsi="Calibri"/>
                <w:color w:val="1A1A1A"/>
                <w:sz w:val="19"/>
                <w:szCs w:val="19"/>
              </w:rPr>
              <w:t xml:space="preserve">• </w:t>
            </w:r>
            <w:r>
              <w:rPr>
                <w:rFonts w:ascii="Calibri" w:cs="Calibri" w:eastAsia="Calibri" w:hAnsi="Calibri"/>
                <w:color w:val="1A1A1A"/>
                <w:sz w:val="19"/>
                <w:szCs w:val="19"/>
              </w:rPr>
              <w:t xml:space="preserve">Power BI</w:t>
            </w:r>
          </w:p>
        </w:tc>
      </w:tr>
      <w:tr>
        <w:tc>
          <w:tcPr>
            <w:tcW w:type="dxa" w:w="3166"/>
            <w:tcBorders>
              <w:top w:val="none" w:color="FFFFFF" w:sz="0"/>
              <w:left w:val="none" w:color="FFFFFF" w:sz="0"/>
              <w:bottom w:val="none" w:color="FFFFFF" w:sz="0"/>
              <w:right w:val="none" w:color="FFFFFF" w:sz="0"/>
            </w:tcBorders>
            <w:tcMar>
              <w:top w:type="dxa" w:w="40"/>
              <w:left w:type="dxa" w:w="60"/>
              <w:bottom w:type="dxa" w:w="40"/>
              <w:right w:type="dxa" w:w="60"/>
            </w:tcMar>
          </w:tcPr>
          <w:p>
            <w:pPr>
              <w:spacing w:after="0"/>
            </w:pPr>
            <w:r>
              <w:rPr>
                <w:rFonts w:ascii="Calibri" w:cs="Calibri" w:eastAsia="Calibri" w:hAnsi="Calibri"/>
                <w:color w:val="1A1A1A"/>
                <w:sz w:val="19"/>
                <w:szCs w:val="19"/>
              </w:rPr>
              <w:t xml:space="preserve">• </w:t>
            </w:r>
            <w:r>
              <w:rPr>
                <w:rFonts w:ascii="Calibri" w:cs="Calibri" w:eastAsia="Calibri" w:hAnsi="Calibri"/>
                <w:color w:val="1A1A1A"/>
                <w:sz w:val="19"/>
                <w:szCs w:val="19"/>
              </w:rPr>
              <w:t xml:space="preserve">Tableau</w:t>
            </w:r>
          </w:p>
        </w:tc>
        <w:tc>
          <w:tcPr>
            <w:tcW w:type="dxa" w:w="3166"/>
            <w:tcBorders>
              <w:top w:val="none" w:color="FFFFFF" w:sz="0"/>
              <w:left w:val="none" w:color="FFFFFF" w:sz="0"/>
              <w:bottom w:val="none" w:color="FFFFFF" w:sz="0"/>
              <w:right w:val="none" w:color="FFFFFF" w:sz="0"/>
            </w:tcBorders>
            <w:tcMar>
              <w:top w:type="dxa" w:w="40"/>
              <w:left w:type="dxa" w:w="60"/>
              <w:bottom w:type="dxa" w:w="40"/>
              <w:right w:type="dxa" w:w="60"/>
            </w:tcMar>
          </w:tcPr>
          <w:p>
            <w:pPr>
              <w:spacing w:after="0"/>
            </w:pPr>
            <w:r>
              <w:rPr>
                <w:rFonts w:ascii="Calibri" w:cs="Calibri" w:eastAsia="Calibri" w:hAnsi="Calibri"/>
                <w:color w:val="1A1A1A"/>
                <w:sz w:val="19"/>
                <w:szCs w:val="19"/>
              </w:rPr>
              <w:t xml:space="preserve">• </w:t>
            </w:r>
            <w:r>
              <w:rPr>
                <w:rFonts w:ascii="Calibri" w:cs="Calibri" w:eastAsia="Calibri" w:hAnsi="Calibri"/>
                <w:color w:val="1A1A1A"/>
                <w:sz w:val="19"/>
                <w:szCs w:val="19"/>
              </w:rPr>
              <w:t xml:space="preserve">SAP SLT</w:t>
            </w:r>
          </w:p>
        </w:tc>
        <w:tc>
          <w:tcPr>
            <w:tcW w:type="dxa" w:w="3166"/>
            <w:tcBorders>
              <w:top w:val="none" w:color="FFFFFF" w:sz="0"/>
              <w:left w:val="none" w:color="FFFFFF" w:sz="0"/>
              <w:bottom w:val="none" w:color="FFFFFF" w:sz="0"/>
              <w:right w:val="none" w:color="FFFFFF" w:sz="0"/>
            </w:tcBorders>
            <w:tcMar>
              <w:top w:type="dxa" w:w="40"/>
              <w:left w:type="dxa" w:w="60"/>
              <w:bottom w:type="dxa" w:w="40"/>
              <w:right w:type="dxa" w:w="60"/>
            </w:tcMar>
          </w:tcPr>
          <w:p>
            <w:pPr>
              <w:spacing w:after="0"/>
            </w:pPr>
            <w:r>
              <w:rPr>
                <w:rFonts w:ascii="Calibri" w:cs="Calibri" w:eastAsia="Calibri" w:hAnsi="Calibri"/>
                <w:color w:val="1A1A1A"/>
                <w:sz w:val="19"/>
                <w:szCs w:val="19"/>
              </w:rPr>
              <w:t xml:space="preserve">• </w:t>
            </w:r>
            <w:r>
              <w:rPr>
                <w:rFonts w:ascii="Calibri" w:cs="Calibri" w:eastAsia="Calibri" w:hAnsi="Calibri"/>
                <w:color w:val="1A1A1A"/>
                <w:sz w:val="19"/>
                <w:szCs w:val="19"/>
              </w:rPr>
              <w:t xml:space="preserve">SAP Data Services</w:t>
            </w:r>
          </w:p>
        </w:tc>
      </w:tr>
      <w:tr>
        <w:tc>
          <w:tcPr>
            <w:tcW w:type="dxa" w:w="3166"/>
            <w:tcBorders>
              <w:top w:val="none" w:color="FFFFFF" w:sz="0"/>
              <w:left w:val="none" w:color="FFFFFF" w:sz="0"/>
              <w:bottom w:val="none" w:color="FFFFFF" w:sz="0"/>
              <w:right w:val="none" w:color="FFFFFF" w:sz="0"/>
            </w:tcBorders>
            <w:tcMar>
              <w:top w:type="dxa" w:w="40"/>
              <w:left w:type="dxa" w:w="60"/>
              <w:bottom w:type="dxa" w:w="40"/>
              <w:right w:type="dxa" w:w="60"/>
            </w:tcMar>
          </w:tcPr>
          <w:p>
            <w:pPr>
              <w:spacing w:after="0"/>
            </w:pPr>
            <w:r>
              <w:rPr>
                <w:rFonts w:ascii="Calibri" w:cs="Calibri" w:eastAsia="Calibri" w:hAnsi="Calibri"/>
                <w:color w:val="1A1A1A"/>
                <w:sz w:val="19"/>
                <w:szCs w:val="19"/>
              </w:rPr>
              <w:t xml:space="preserve">• </w:t>
            </w:r>
            <w:r>
              <w:rPr>
                <w:rFonts w:ascii="Calibri" w:cs="Calibri" w:eastAsia="Calibri" w:hAnsi="Calibri"/>
                <w:color w:val="1A1A1A"/>
                <w:sz w:val="19"/>
                <w:szCs w:val="19"/>
              </w:rPr>
              <w:t xml:space="preserve">Google Cloud Platform</w:t>
            </w:r>
          </w:p>
        </w:tc>
        <w:tc>
          <w:tcPr>
            <w:tcW w:type="dxa" w:w="3166"/>
            <w:tcBorders>
              <w:top w:val="none" w:color="FFFFFF" w:sz="0"/>
              <w:left w:val="none" w:color="FFFFFF" w:sz="0"/>
              <w:bottom w:val="none" w:color="FFFFFF" w:sz="0"/>
              <w:right w:val="none" w:color="FFFFFF" w:sz="0"/>
            </w:tcBorders>
            <w:tcMar>
              <w:top w:type="dxa" w:w="40"/>
              <w:left w:type="dxa" w:w="60"/>
              <w:bottom w:type="dxa" w:w="40"/>
              <w:right w:type="dxa" w:w="60"/>
            </w:tcMar>
          </w:tcPr>
          <w:p>
            <w:pPr>
              <w:spacing w:after="0"/>
            </w:pPr>
          </w:p>
        </w:tc>
        <w:tc>
          <w:tcPr>
            <w:tcW w:type="dxa" w:w="3166"/>
            <w:tcBorders>
              <w:top w:val="none" w:color="FFFFFF" w:sz="0"/>
              <w:left w:val="none" w:color="FFFFFF" w:sz="0"/>
              <w:bottom w:val="none" w:color="FFFFFF" w:sz="0"/>
              <w:right w:val="none" w:color="FFFFFF" w:sz="0"/>
            </w:tcBorders>
            <w:tcMar>
              <w:top w:type="dxa" w:w="40"/>
              <w:left w:type="dxa" w:w="60"/>
              <w:bottom w:type="dxa" w:w="40"/>
              <w:right w:type="dxa" w:w="60"/>
            </w:tcMar>
          </w:tcPr>
          <w:p>
            <w:pPr>
              <w:spacing w:after="0"/>
            </w:pPr>
          </w:p>
        </w:tc>
      </w:tr>
    </w:tbl>
    <w:p>
      <w:pPr>
        <w:spacing w:after="60" w:before="200"/>
      </w:pPr>
      <w:r>
        <w:rPr>
          <w:rFonts w:ascii="Calibri" w:cs="Calibri" w:eastAsia="Calibri" w:hAnsi="Calibri"/>
          <w:b/>
          <w:bCs/>
          <w:color w:val="1A1A1A"/>
          <w:sz w:val="20"/>
          <w:szCs w:val="20"/>
        </w:rPr>
        <w:t xml:space="preserve">● </w:t>
      </w:r>
      <w:r>
        <w:rPr>
          <w:rFonts w:ascii="Calibri" w:cs="Calibri" w:eastAsia="Calibri" w:hAnsi="Calibri"/>
          <w:b/>
          <w:bCs/>
          <w:color w:val="1A1A1A"/>
          <w:sz w:val="20"/>
          <w:szCs w:val="20"/>
          <w:u w:val="single" w:color="1A1A1A"/>
        </w:rPr>
        <w:t xml:space="preserve">EDUCATION &amp; TRAINING</w:t>
      </w:r>
    </w:p>
    <w:p>
      <w:pPr>
        <w:pBdr>
          <w:bottom w:val="single" w:color="CCCCCC" w:sz="6" w:space="1"/>
        </w:pBdr>
        <w:spacing w:after="100" w:before="0"/>
      </w:pPr>
    </w:p>
    <w:p>
      <w:pPr>
        <w:spacing w:after="30"/>
      </w:pPr>
      <w:r>
        <w:rPr>
          <w:rFonts w:ascii="Calibri" w:cs="Calibri" w:eastAsia="Calibri" w:hAnsi="Calibri"/>
          <w:color w:val="666666"/>
          <w:sz w:val="18"/>
          <w:szCs w:val="18"/>
        </w:rPr>
        <w:t xml:space="preserve">01/08/2012 – 31/05/2016  -  Pune, India</w:t>
      </w:r>
    </w:p>
    <w:p>
      <w:pPr>
        <w:spacing w:after="0"/>
      </w:pPr>
      <w:r>
        <w:rPr>
          <w:rFonts w:ascii="Calibri" w:cs="Calibri" w:eastAsia="Calibri" w:hAnsi="Calibri"/>
          <w:b/>
          <w:bCs/>
          <w:color w:val="1A1A1A"/>
          <w:sz w:val="20"/>
          <w:szCs w:val="20"/>
        </w:rPr>
        <w:t xml:space="preserve">Bachelor of Engineering</w:t>
      </w:r>
    </w:p>
    <w:p>
      <w:pPr>
        <w:spacing w:after="60" w:before="200"/>
      </w:pPr>
      <w:r>
        <w:rPr>
          <w:rFonts w:ascii="Calibri" w:cs="Calibri" w:eastAsia="Calibri" w:hAnsi="Calibri"/>
          <w:b/>
          <w:bCs/>
          <w:color w:val="1A1A1A"/>
          <w:sz w:val="20"/>
          <w:szCs w:val="20"/>
        </w:rPr>
        <w:t xml:space="preserve">● </w:t>
      </w:r>
      <w:r>
        <w:rPr>
          <w:rFonts w:ascii="Calibri" w:cs="Calibri" w:eastAsia="Calibri" w:hAnsi="Calibri"/>
          <w:b/>
          <w:bCs/>
          <w:color w:val="1A1A1A"/>
          <w:sz w:val="20"/>
          <w:szCs w:val="20"/>
          <w:u w:val="single" w:color="1A1A1A"/>
        </w:rPr>
        <w:t xml:space="preserve">LANGUAGES</w:t>
      </w:r>
    </w:p>
    <w:p>
      <w:pPr>
        <w:pBdr>
          <w:bottom w:val="single" w:color="CCCCCC" w:sz="6" w:space="1"/>
        </w:pBdr>
        <w:spacing w:after="100" w:before="0"/>
      </w:pPr>
    </w:p>
    <w:p>
      <w:pPr>
        <w:pStyle w:val="ListParagraph"/>
        <w:numPr>
          <w:ilvl w:val="0"/>
          <w:numId w:val="2"/>
        </w:numPr>
        <w:spacing w:after="50"/>
      </w:pPr>
      <w:r>
        <w:rPr>
          <w:rFonts w:ascii="Calibri" w:cs="Calibri" w:eastAsia="Calibri" w:hAnsi="Calibri"/>
          <w:color w:val="1A1A1A"/>
          <w:sz w:val="19"/>
          <w:szCs w:val="19"/>
        </w:rPr>
        <w:t xml:space="preserve">English — Native / Fluent</w:t>
      </w:r>
    </w:p>
    <w:p>
      <w:pPr>
        <w:pStyle w:val="ListParagraph"/>
        <w:numPr>
          <w:ilvl w:val="0"/>
          <w:numId w:val="2"/>
        </w:numPr>
        <w:spacing w:after="50"/>
      </w:pPr>
      <w:r>
        <w:rPr>
          <w:rFonts w:ascii="Calibri" w:cs="Calibri" w:eastAsia="Calibri" w:hAnsi="Calibri"/>
          <w:color w:val="1A1A1A"/>
          <w:sz w:val="19"/>
          <w:szCs w:val="19"/>
        </w:rPr>
        <w:t xml:space="preserve">German — A2 (active learning, targeting B1)</w:t>
      </w:r>
    </w:p>
    <w:p>
      <w:pPr>
        <w:spacing w:after="60" w:before="200"/>
      </w:pPr>
      <w:r>
        <w:rPr>
          <w:rFonts w:ascii="Calibri" w:cs="Calibri" w:eastAsia="Calibri" w:hAnsi="Calibri"/>
          <w:b/>
          <w:bCs/>
          <w:color w:val="1A1A1A"/>
          <w:sz w:val="20"/>
          <w:szCs w:val="20"/>
        </w:rPr>
        <w:t xml:space="preserve">● </w:t>
      </w:r>
      <w:r>
        <w:rPr>
          <w:rFonts w:ascii="Calibri" w:cs="Calibri" w:eastAsia="Calibri" w:hAnsi="Calibri"/>
          <w:b/>
          <w:bCs/>
          <w:color w:val="1A1A1A"/>
          <w:sz w:val="20"/>
          <w:szCs w:val="20"/>
          <w:u w:val="single" w:color="1A1A1A"/>
        </w:rPr>
        <w:t xml:space="preserve">CERTIFICATIONS</w:t>
      </w:r>
    </w:p>
    <w:p>
      <w:pPr>
        <w:pBdr>
          <w:bottom w:val="single" w:color="CCCCCC" w:sz="6" w:space="1"/>
        </w:pBdr>
        <w:spacing w:after="100" w:before="0"/>
      </w:pPr>
    </w:p>
    <w:p>
      <w:pPr>
        <w:pStyle w:val="ListParagraph"/>
        <w:numPr>
          <w:ilvl w:val="0"/>
          <w:numId w:val="2"/>
        </w:numPr>
        <w:spacing w:after="50"/>
      </w:pPr>
      <w:r>
        <w:rPr>
          <w:rFonts w:ascii="Calibri" w:cs="Calibri" w:eastAsia="Calibri" w:hAnsi="Calibri"/>
          <w:color w:val="1A1A1A"/>
          <w:sz w:val="19"/>
          <w:szCs w:val="19"/>
        </w:rPr>
        <w:t xml:space="preserve">SAP Certified Application Associate — SAP HANA 2.0 (SPS04)</w:t>
      </w:r>
    </w:p>
    <w:p>
      <w:pPr>
        <w:pStyle w:val="ListParagraph"/>
        <w:numPr>
          <w:ilvl w:val="0"/>
          <w:numId w:val="2"/>
        </w:numPr>
        <w:spacing w:after="50"/>
      </w:pPr>
      <w:r>
        <w:rPr>
          <w:rFonts w:ascii="Calibri" w:cs="Calibri" w:eastAsia="Calibri" w:hAnsi="Calibri"/>
          <w:color w:val="1A1A1A"/>
          <w:sz w:val="19"/>
          <w:szCs w:val="19"/>
        </w:rPr>
        <w:t xml:space="preserve">SAP Certified Associate — SAP Datasphere</w:t>
      </w:r>
    </w:p>
    <w:p>
      <w:pPr>
        <w:pStyle w:val="ListParagraph"/>
        <w:numPr>
          <w:ilvl w:val="0"/>
          <w:numId w:val="2"/>
        </w:numPr>
        <w:spacing w:after="50"/>
      </w:pPr>
      <w:r>
        <w:rPr>
          <w:rFonts w:ascii="Calibri" w:cs="Calibri" w:eastAsia="Calibri" w:hAnsi="Calibri"/>
          <w:color w:val="1A1A1A"/>
          <w:sz w:val="19"/>
          <w:szCs w:val="19"/>
        </w:rPr>
        <w:t xml:space="preserve">SAP Certified Application Associate — SAP Analytics Cloud</w:t>
      </w:r>
    </w:p>
    <w:p>
      <w:pPr>
        <w:spacing w:after="60" w:before="200"/>
      </w:pPr>
      <w:r>
        <w:rPr>
          <w:rFonts w:ascii="Calibri" w:cs="Calibri" w:eastAsia="Calibri" w:hAnsi="Calibri"/>
          <w:b/>
          <w:bCs/>
          <w:color w:val="1A1A1A"/>
          <w:sz w:val="20"/>
          <w:szCs w:val="20"/>
        </w:rPr>
        <w:t xml:space="preserve">● </w:t>
      </w:r>
      <w:r>
        <w:rPr>
          <w:rFonts w:ascii="Calibri" w:cs="Calibri" w:eastAsia="Calibri" w:hAnsi="Calibri"/>
          <w:b/>
          <w:bCs/>
          <w:color w:val="1A1A1A"/>
          <w:sz w:val="20"/>
          <w:szCs w:val="20"/>
          <w:u w:val="single" w:color="1A1A1A"/>
        </w:rPr>
        <w:t xml:space="preserve">CURRENTLY LEARNING</w:t>
      </w:r>
    </w:p>
    <w:p>
      <w:pPr>
        <w:pBdr>
          <w:bottom w:val="single" w:color="CCCCCC" w:sz="6" w:space="1"/>
        </w:pBdr>
        <w:spacing w:after="100" w:before="0"/>
      </w:pPr>
    </w:p>
    <w:p>
      <w:pPr>
        <w:pStyle w:val="ListParagraph"/>
        <w:numPr>
          <w:ilvl w:val="0"/>
          <w:numId w:val="2"/>
        </w:numPr>
        <w:spacing w:after="50"/>
      </w:pPr>
      <w:r>
        <w:rPr>
          <w:rFonts w:ascii="Calibri" w:cs="Calibri" w:eastAsia="Calibri" w:hAnsi="Calibri"/>
          <w:color w:val="1A1A1A"/>
          <w:sz w:val="19"/>
          <w:szCs w:val="19"/>
        </w:rPr>
        <w:t xml:space="preserve">SAP Business AI &amp; Joule — AI-embedded analytics, Joule for SAP Datasphere, AI use cases in ERP</w:t>
      </w:r>
    </w:p>
    <w:p>
      <w:pPr>
        <w:pStyle w:val="ListParagraph"/>
        <w:numPr>
          <w:ilvl w:val="0"/>
          <w:numId w:val="2"/>
        </w:numPr>
        <w:spacing w:after="50"/>
      </w:pPr>
      <w:r>
        <w:rPr>
          <w:rFonts w:ascii="Calibri" w:cs="Calibri" w:eastAsia="Calibri" w:hAnsi="Calibri"/>
          <w:color w:val="1A1A1A"/>
          <w:sz w:val="19"/>
          <w:szCs w:val="19"/>
        </w:rPr>
        <w:t xml:space="preserve">SAP AI Core &amp; SAP BTP AI Services — model deployment, AI scenario management on BTP</w:t>
      </w:r>
    </w:p>
    <w:p>
      <w:pPr>
        <w:pStyle w:val="ListParagraph"/>
        <w:numPr>
          <w:ilvl w:val="0"/>
          <w:numId w:val="2"/>
        </w:numPr>
        <w:spacing w:after="50"/>
      </w:pPr>
      <w:r>
        <w:rPr>
          <w:rFonts w:ascii="Calibri" w:cs="Calibri" w:eastAsia="Calibri" w:hAnsi="Calibri"/>
          <w:color w:val="1A1A1A"/>
          <w:sz w:val="19"/>
          <w:szCs w:val="19"/>
        </w:rPr>
        <w:t xml:space="preserve">AI Foundations — Elements of AI (University of Helsinki), DeepLearning.AI short courses</w:t>
      </w:r>
    </w:p>
    <w:p>
      <w:pPr>
        <w:pStyle w:val="ListParagraph"/>
        <w:numPr>
          <w:ilvl w:val="0"/>
          <w:numId w:val="2"/>
        </w:numPr>
        <w:spacing w:after="50"/>
      </w:pPr>
      <w:r>
        <w:rPr>
          <w:rFonts w:ascii="Calibri" w:cs="Calibri" w:eastAsia="Calibri" w:hAnsi="Calibri"/>
          <w:color w:val="1A1A1A"/>
          <w:sz w:val="19"/>
          <w:szCs w:val="19"/>
        </w:rPr>
        <w:t xml:space="preserve">Prompt Engineering — practical application of LLMs in data and consulting workflows</w:t>
      </w:r>
    </w:p>
    <w:sectPr>
      <w:pgSz w:w="11906" w:h="16838" w:orient="portrait"/>
      <w:pgMar w:top="1000" w:right="1100" w:bottom="1000" w:left="11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400" w:hanging="24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color w:val="1A1A1A"/>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2026-03-21T11:35:49.374Z</dcterms:created>
  <dcterms:modified xsi:type="dcterms:W3CDTF">2026-03-21T11:35:49.375Z</dcterms:modified>
</cp:coreProperties>
</file>

<file path=docProps/custom.xml><?xml version="1.0" encoding="utf-8"?>
<Properties xmlns="http://schemas.openxmlformats.org/officeDocument/2006/custom-properties" xmlns:vt="http://schemas.openxmlformats.org/officeDocument/2006/docPropsVTypes"/>
</file>